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B" w:rsidRDefault="00FC349B" w:rsidP="004E1B0F">
      <w:pPr>
        <w:pStyle w:val="Bezmezer"/>
        <w:rPr>
          <w:lang w:eastAsia="cs-CZ"/>
        </w:rPr>
      </w:pPr>
      <w:r w:rsidRPr="00FC349B">
        <w:rPr>
          <w:lang w:eastAsia="cs-CZ"/>
        </w:rPr>
        <w:t>SMLOUVA O UBYTOVÁNÍ - UBYTOVACÍ ŘÁD</w:t>
      </w:r>
    </w:p>
    <w:p w:rsid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</w:pP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 xml:space="preserve">Apartmány 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MORAVICE</w:t>
      </w:r>
    </w:p>
    <w:p w:rsidR="00D96449" w:rsidRPr="00D96449" w:rsidRDefault="00115CAB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DOLNÍ MORAVICE 14</w:t>
      </w: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7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95 01 DOLNÍ MORAVICE</w:t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05E162AD" wp14:editId="32933887">
            <wp:extent cx="104775" cy="95250"/>
            <wp:effectExtent l="0" t="0" r="9525" b="0"/>
            <wp:docPr id="2" name="Obrázek 2" descr="Vytisknout">
              <a:hlinkClick xmlns:a="http://schemas.openxmlformats.org/drawingml/2006/main" r:id="rId6" tooltip="&quot;Vytiskn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knout">
                      <a:hlinkClick r:id="rId6" tooltip="&quot;Vytiskn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7BB3694A" wp14:editId="2CDB477A">
            <wp:extent cx="104775" cy="95250"/>
            <wp:effectExtent l="0" t="0" r="9525" b="0"/>
            <wp:docPr id="1" name="Obrázek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b/>
          <w:bCs/>
          <w:color w:val="3C3C3C"/>
          <w:sz w:val="20"/>
          <w:szCs w:val="20"/>
          <w:lang w:eastAsia="cs-CZ"/>
        </w:rPr>
        <w:t>Děkujeme, že respektujete níže uvedené smluvní podmínky.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    Ze smlouvy o ubytování vznikne hostovi právo na přechodné ubytování na dohodnutou dobu v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 Apartmánech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Moravice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Dolní Moravice 14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Smlouva o ubytování je uzavřena buď písemně   (v případě písemné či e-mailové rezervace hosta), nebo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ústně ( v případě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telefonické rezervace hosta nebo ubytováním hosta bez předchozí rezervace).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Součástí uzavřené smlouvy jsou i práva a povinnosti upravené tímto ubytovacím řádem a ceníkem služeb. Ubytovací řád a ceník služeb, platný ke dni uzavření ubytovací smlouvy, jsou pro hosta i pro ubytovatele závazné.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při nástupu k ubytování předloží osobní doklady k zapsání do Ubytovací knihy a </w:t>
      </w:r>
      <w:r w:rsidRPr="0051060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>zaplatí dohodnutou finanční částku za pobyt  a složí vratnou kauci.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Ubytovatel zaeviduje hosta a potvrdí mu zaplacení dohodnuté částky za pobyt.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oprávněn ubytovat se první den pobytu nejdříve od 1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6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 hodin a nejpozději do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20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 hodin daného dne, není-li dohodnuto jinak.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 případě neohlášeného pozdního ubytování je povinen uhradit částku ve výši 150,- Kč za provedení dodatečného ubytování.</w:t>
      </w:r>
    </w:p>
    <w:p w:rsidR="003406E1" w:rsidRDefault="00FC349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Poslední den pobyt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 host opustí apartmán do  09:30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hodin daného dne. Pokud tak host neučiní ve stanovené době, může mu ubytovatel účtovat pobyt i za následující den.</w:t>
      </w:r>
    </w:p>
    <w:p w:rsidR="00D944FB" w:rsidRPr="00D944FB" w:rsidRDefault="00D944F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Spotřebuje-li ubytovaný více elektrické energie, či zvýší-li se náklady na topení nad rámec běžné spotřeby, je ubytovaný povinen tyto zvýšené náklady ubytovateli uhradit.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příjezdu obdrží host 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1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ks klíčů ( klíč od apartmánu a  od hlavních dveří). 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ento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klíč si ponechá ve své dispozici po celou dobu pobytu. Host je povinen tyto klíče řádně opatrovat. Není oprávněn pořizovat duplikáty klíčů ani umožnit třetí osobě pořídit duplikáty klíčů.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klíče odevzdat ubytovateli při odjezdu. V případě ztráty klíčů je host povinen zaplatit ubytovateli smluvní pokutu (náhradu ceny klíčů) ve výši 2000,-Kč.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Klienti se během pobytu nemohou měnit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(pobyt mohou absolvovat pouze osoby řádně zapsané v ubytovací knize).</w:t>
      </w:r>
    </w:p>
    <w:p w:rsidR="00867F77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má právo na parkování osobního vozidla 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na místě k tomu určeném </w:t>
      </w: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zdarma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r w:rsidR="00867F77" w:rsidRPr="00867F77">
        <w:rPr>
          <w:rFonts w:ascii="Times New Roman" w:hAnsi="Times New Roman" w:cs="Times New Roman"/>
        </w:rPr>
        <w:t xml:space="preserve"> </w:t>
      </w:r>
      <w:r w:rsidR="00867F77" w:rsidRPr="00867F77">
        <w:rPr>
          <w:rFonts w:ascii="Arial" w:hAnsi="Arial" w:cs="Times New Roman"/>
          <w:sz w:val="20"/>
        </w:rPr>
        <w:t>Ubytovatel neprovozuje hlídané parkoviště a neodpovídá tak za škodu způsobenou na dopravních prostředcích a věcech v nich ponechaných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</w:p>
    <w:p w:rsidR="00FC349B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prvním příchodu do apartmánu je host povinen zkontrolovat, že je bez závad, případné zjištěné závady neprodleně hlásit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Při odchodu z apartmánu je host vždy povinen zavřít okna a vodovodní kohoutky, vypnout elektrické spotřebiče, zhasnout světla a zamknout vstupní dveře apartmánu.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neodpovídá za ztrátu věcí hosta, pokud nebyl apartmán řádně uzamčen. Host odpovídá za škodu na zařízení apartmánu, pokud došlo k jeho ztrátě či poškození v případě, že apartmán nebyl hostem řádně uzamčen.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vždy zamknout hlavní vchod do budovy, pokud přichází nebo odchází z budovy. 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odpovídá  za poškození či ztrátu vybavení apartmánu, ke které došlo v průběhu jeho pobytu a je povinen způsobenou škodu uhradit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apartmánu mohou být ubytovány pouze osoby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teré nejsou postiženy infekčními nemocemi, v karanténě, pod vlivem alkoholu, omamných a psychotropních látek.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 bezpečnostních důvodů není dovoleno ponechávat děti do 10ti let v apartmánu bez dozoru osoby starší 18ti let. Samostatně ubytovaný host musí být starší 18ti let.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Hosté nejsou oprávněni vodit do apartmánu neubytované osoby, umožnit komukoli vstup do apartmánu, či nechat jakoukoli neubytovanou osobu přespat.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prostorách domu je zakázáno kouření a používání otevřeného ohně!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nesmí používat vlastní elektrické spotřebiče s výjimkou těch, které slouží k osobní hygieně, tj. holicích strojků, vysoušečů vlasů a podobně. Host může používat spotřebiče s malým příkonem, sloužící k osobní potřebě, tj. notebooky, nabíječky el. spotřebičů, přenosné DVD přehrávače.</w:t>
      </w:r>
    </w:p>
    <w:p w:rsidR="00D944FB" w:rsidRPr="005E260B" w:rsidRDefault="00FC349B" w:rsidP="005E260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době od 22.00 do 7.00 hodin je host povinen dodržovat noční klid.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  zachování čistoty se hosté přezouvají do domácí obuvi v zádveří domu – přezůvky s sebou.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360" w:lineRule="atLeast"/>
        <w:jc w:val="both"/>
        <w:outlineLvl w:val="3"/>
        <w:rPr>
          <w:rFonts w:ascii="Arial" w:eastAsia="Times New Roman" w:hAnsi="Arial" w:cs="Arial"/>
          <w:color w:val="3C3C3C"/>
          <w:sz w:val="34"/>
          <w:szCs w:val="34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4"/>
          <w:szCs w:val="34"/>
          <w:lang w:eastAsia="cs-CZ"/>
        </w:rPr>
        <w:t>Jako pronajímatelé si vyhrazujeme právo okamžitě ukončit pobyt v případě, že: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Na pobyt nastoupí počet osob přesahující buď celkovou kapacitu objektu, nebo vyšší počet osob, než byl nahlášen.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ke svévolnému zvýšení nebo výměně osob během doby pobytu (bez vědomí ubytovatele).</w:t>
      </w:r>
    </w:p>
    <w:p w:rsid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zákazu kouření a používání otevřeného ohně.</w:t>
      </w:r>
    </w:p>
    <w:p w:rsidR="00E444D3" w:rsidRPr="00FC349B" w:rsidRDefault="00E444D3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pravidel provozu v saunovém domku.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zjistí pobyt jakéhokoliv domácího zvířete.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nenahlásí závady, poruchy či poškození vybavení objektu bezodkladně.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nastoupí na pobyt pod vlivem alkoholu nebo jiných omamných nebo psychotropních látek.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případech nevzniká právo na vrácení nespotřebované platby za služby.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Rezervace a záloha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Pro závaznou rezervaci termínu požadujeme zálohu ve výši </w:t>
      </w:r>
      <w:r w:rsidR="005E260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0% z celkové částky z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a ubytování zaslanou na náš účet 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který Vám obratem sdělíme zároveň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Předběžné rezervace rušíme, pokud nedojde k úhradě zálohy v termínu zaslaném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Doplatek ve zbývající výši do celkové ceny ubytování je splatný na místě v hotovosti, nebo převodem na účet nejpozději 5 dnů před zahájením pobytu.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Kauce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nástupu pobytu požadujeme složení kauce ve výši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 v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hotovosti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, při pronájmu celé chalupy 5.000,- Kč v hotovosti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(platební karty nepřijímáme).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Kauce se vrací v plné výši při ukončení pobytu, pokud nedošlo k poškození majetku.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Bude-li vzniklá škoda vyšší než kauce, je host povinen tento rozdíl ubytovateli uhradit.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Apartmán (chalupa) je předán/a ubytovatelem vždy uklizen/á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stavu způsobilém k řádnému užívání. Případné závady, poruchy, reklamace či poškození vybavení i objektu je nutné ohlásit ubytovateli bez prodlení, aby bylo možné sjednat nápravu v dostatečném časovém předstihu před příjezdem nových klientů.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je povinen udržovat pořádek a čistotu ve všech prostorách i okolí (úklidové pomůcky jsou součástí prostor určených k ubytování) a odevzdat objekt ve stejném stavu, v jakém jej převzal. Pokud tak neučiní, ubytovatel má právo na přiměřenou srážku z kauce.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Během pobytu je nutné zajistit ochranu vybavení a zařízení objektu proti poškození, zejména pak postele a sedací soupravu proti mechanickému poškození skákáním a znečištěním dětmi.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Bez výslovného souhlasu ubytovatele není možné provádět změny v prostorách objektu (stěhování nábytku, přemisťování vybavení a pod.).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Pokud dojde ke škodě takového rozsahu, že bude objekt vyřazen z provozu, je zákazník povinen mimo jiné za dobu prováděných oprav uhradit i ušlý zisk majiteli podle platného ceníku za dané období.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Provozovatel si tímto vyhrazuje právo vstoupit do objektu během pobytu hostů za účelem kontroly dodržování podmínek.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U objednávek věkové kategorie do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8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-ti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let je výše kauce stanovena na 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.000,-Kč,  vrací se převodem na účet do tří pracovních dní od ukončení pobytu, pokud nebylo zjištěno poškození majetku.</w:t>
      </w: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  <w:r w:rsidRPr="004E1B0F">
        <w:rPr>
          <w:rFonts w:ascii="Arial" w:eastAsia="Times New Roman" w:hAnsi="Arial" w:cs="Arial"/>
          <w:color w:val="3C3C3C"/>
          <w:sz w:val="36"/>
          <w:szCs w:val="36"/>
          <w:lang w:eastAsia="cs-CZ"/>
        </w:rPr>
        <w:t>Rekreační poplatek</w:t>
      </w:r>
    </w:p>
    <w:p w:rsidR="004E1B0F" w:rsidRP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Není zahrnut v ceně! 16,- Kč/osoba/den</w:t>
      </w:r>
    </w:p>
    <w:p w:rsidR="004E1B0F" w:rsidRP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  <w:bookmarkStart w:id="0" w:name="_GoBack"/>
      <w:bookmarkEnd w:id="0"/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Storno podmínky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má právo odstoupit  od objednávky (SMS,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proofErr w:type="spellStart"/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poštou</w:t>
      </w:r>
      <w:proofErr w:type="spellEnd"/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nebo písemně). Za okamžik odstoupení  se považuje den doručení (SMS, </w:t>
      </w:r>
      <w:proofErr w:type="spellStart"/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pošty</w:t>
      </w:r>
      <w:proofErr w:type="spellEnd"/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nebo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pís.dokladu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) o zrušení objednávky ubytovateli.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40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více dnů před zahájením pobytu :   bez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poplatků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39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20 dnů před termínem zahájení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50%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19 a méně dnů před termínem zahájení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100%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 poplatky se neplatí v případě, že si host zajistí za sebe náhradu.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předčasném odjezdu hosta nevzniká hostovi nárok na vrácení nespotřebované platby za služby.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případě vážných osobních nebo zdravotních důvodů lze předčasný odjezd řešit dohodou s ubytovatelem.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Současně s uhrazením zálohové platby host souhlasí se všemi platebními a provozními podmínkami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včetně </w:t>
      </w:r>
      <w:r w:rsidR="00015F6E" w:rsidRPr="001D625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 xml:space="preserve">smlouvy o ubytování – ubytovací řád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 a zavazuje se tyto podmínky dodržovat.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Pojištění pobytů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Objednaný pobyt využívají klienti na vlastní nebezpečí. Za úrazy, poškození i zničení majetku (odpovědnost za škody způsobené na zdraví a majetku třetí osobě), za odcizení zavazadel po dobu rekreačního pobytu, stejně jako za škody (předčasné ukončení pobytu) způsobené přírodními živly (mráz, sníh,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led,voda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vítr a pod.) či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katastrofami a za škody s těmito událostmi neodpovídáme.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Doporučujeme Vám před odjezdem uzavřít vhodné cestovní pojištění nebo připojištění.</w:t>
      </w:r>
    </w:p>
    <w:p w:rsidR="00DC6823" w:rsidRDefault="00DC6823"/>
    <w:p w:rsidR="000C1089" w:rsidRDefault="000C1089"/>
    <w:p w:rsidR="000C1089" w:rsidRDefault="000C1089"/>
    <w:p w:rsidR="000C1089" w:rsidRDefault="000C1089"/>
    <w:p w:rsidR="005F5BD7" w:rsidRDefault="00D96449">
      <w:r>
        <w:t xml:space="preserve">Platnost od </w:t>
      </w:r>
      <w:proofErr w:type="gramStart"/>
      <w:r>
        <w:t>01.01.201</w:t>
      </w:r>
      <w:r w:rsidR="00F37EE2">
        <w:t>8</w:t>
      </w:r>
      <w:proofErr w:type="gramEnd"/>
    </w:p>
    <w:p w:rsidR="005F5BD7" w:rsidRDefault="005F5BD7"/>
    <w:p w:rsidR="005F5BD7" w:rsidRPr="004026DC" w:rsidRDefault="005F5BD7" w:rsidP="005F5BD7">
      <w:pPr>
        <w:pStyle w:val="Bezmezer"/>
        <w:ind w:left="1068"/>
        <w:jc w:val="both"/>
        <w:rPr>
          <w:rFonts w:ascii="Times New Roman" w:hAnsi="Times New Roman" w:cs="Times New Roman"/>
        </w:rPr>
      </w:pPr>
    </w:p>
    <w:p w:rsidR="005F5BD7" w:rsidRDefault="005F5BD7"/>
    <w:p w:rsidR="005F5BD7" w:rsidRDefault="005F5BD7" w:rsidP="005F5BD7">
      <w:pPr>
        <w:pStyle w:val="Odstavecseseznamem"/>
        <w:ind w:left="1134"/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Pr="00D944FB" w:rsidRDefault="00D944FB" w:rsidP="00D944FB">
      <w:pPr>
        <w:rPr>
          <w:rFonts w:ascii="Times New Roman" w:hAnsi="Times New Roman" w:cs="Times New Roman"/>
        </w:rPr>
      </w:pPr>
    </w:p>
    <w:sectPr w:rsidR="00D944FB" w:rsidRPr="00D9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AF7"/>
    <w:multiLevelType w:val="multilevel"/>
    <w:tmpl w:val="344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261C"/>
    <w:multiLevelType w:val="hybridMultilevel"/>
    <w:tmpl w:val="996A0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AE9"/>
    <w:multiLevelType w:val="multilevel"/>
    <w:tmpl w:val="6D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1B7C"/>
    <w:multiLevelType w:val="multilevel"/>
    <w:tmpl w:val="26BE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54690A2F"/>
    <w:multiLevelType w:val="hybridMultilevel"/>
    <w:tmpl w:val="D512C1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4316B"/>
    <w:multiLevelType w:val="hybridMultilevel"/>
    <w:tmpl w:val="48D81C44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B"/>
    <w:rsid w:val="00015F6E"/>
    <w:rsid w:val="000C1089"/>
    <w:rsid w:val="00112927"/>
    <w:rsid w:val="00115CAB"/>
    <w:rsid w:val="001D6252"/>
    <w:rsid w:val="003406E1"/>
    <w:rsid w:val="004D2251"/>
    <w:rsid w:val="004E1B0F"/>
    <w:rsid w:val="00510602"/>
    <w:rsid w:val="005E260B"/>
    <w:rsid w:val="005F5BD7"/>
    <w:rsid w:val="00867F77"/>
    <w:rsid w:val="009516D6"/>
    <w:rsid w:val="00D944FB"/>
    <w:rsid w:val="00D96449"/>
    <w:rsid w:val="00DC6823"/>
    <w:rsid w:val="00E444D3"/>
    <w:rsid w:val="00EA6997"/>
    <w:rsid w:val="00F37EE2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benka-bozidar.cz/cs/component/mailto/?tmpl=component&amp;template=jm-hotel&amp;link=e3bc82e32e7437b3ee41b74163f987e112e4eff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benka-bozidar.cz/cs/okoli/9-ubytovani/4-smlouva-o-ubytovani-ubytovaci-rad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HP</cp:lastModifiedBy>
  <cp:revision>2</cp:revision>
  <cp:lastPrinted>2015-12-16T20:11:00Z</cp:lastPrinted>
  <dcterms:created xsi:type="dcterms:W3CDTF">2018-09-28T19:44:00Z</dcterms:created>
  <dcterms:modified xsi:type="dcterms:W3CDTF">2018-09-28T19:44:00Z</dcterms:modified>
</cp:coreProperties>
</file>